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B62F" w14:textId="0207B96D" w:rsidR="00F646B2" w:rsidRPr="00F61B37" w:rsidRDefault="00F646B2" w:rsidP="00F8467E">
      <w:pPr>
        <w:pStyle w:val="af6"/>
        <w:rPr>
          <w:rFonts w:eastAsia="宋体"/>
        </w:rPr>
      </w:pPr>
      <w:bookmarkStart w:id="0" w:name="_Hlk162006326"/>
      <w:r w:rsidRPr="00F61B37">
        <w:rPr>
          <w:rFonts w:eastAsia="宋体"/>
        </w:rPr>
        <w:t>Supplementary material</w:t>
      </w:r>
    </w:p>
    <w:bookmarkEnd w:id="0"/>
    <w:p w14:paraId="310103DC" w14:textId="556A4774" w:rsidR="00824750" w:rsidRPr="00F61B37" w:rsidRDefault="00824750" w:rsidP="00573025">
      <w:pPr>
        <w:ind w:firstLine="420"/>
        <w:rPr>
          <w:noProof/>
          <w:lang w:val="en-IN" w:eastAsia="en-IN"/>
        </w:rPr>
      </w:pPr>
    </w:p>
    <w:p w14:paraId="73B826BD" w14:textId="77777777" w:rsidR="00D95E74" w:rsidRPr="00F61B37" w:rsidRDefault="00D95E74" w:rsidP="00D95E74">
      <w:pPr>
        <w:pStyle w:val="ab"/>
      </w:pPr>
      <w:r w:rsidRPr="00F61B37">
        <w:rPr>
          <w:rFonts w:eastAsia="宋体"/>
        </w:rPr>
        <w:t>Supplementary</w:t>
      </w:r>
      <w:r w:rsidRPr="00F61B37">
        <w:t xml:space="preserve"> Table 1. List of forward and reverse primer sequences used in qPCR.</w:t>
      </w:r>
    </w:p>
    <w:tbl>
      <w:tblPr>
        <w:tblStyle w:val="a7"/>
        <w:tblW w:w="10374" w:type="dxa"/>
        <w:jc w:val="center"/>
        <w:tblLook w:val="04A0" w:firstRow="1" w:lastRow="0" w:firstColumn="1" w:lastColumn="0" w:noHBand="0" w:noVBand="1"/>
      </w:tblPr>
      <w:tblGrid>
        <w:gridCol w:w="841"/>
        <w:gridCol w:w="1976"/>
        <w:gridCol w:w="2113"/>
        <w:gridCol w:w="1056"/>
        <w:gridCol w:w="928"/>
        <w:gridCol w:w="3460"/>
      </w:tblGrid>
      <w:tr w:rsidR="00D95E74" w:rsidRPr="00F61B37" w14:paraId="1C625040" w14:textId="77777777" w:rsidTr="000E55EF">
        <w:trPr>
          <w:trHeight w:val="20"/>
          <w:jc w:val="center"/>
        </w:trPr>
        <w:tc>
          <w:tcPr>
            <w:tcW w:w="841" w:type="dxa"/>
            <w:vMerge w:val="restart"/>
            <w:vAlign w:val="center"/>
            <w:hideMark/>
          </w:tcPr>
          <w:p w14:paraId="7AB31240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SI. No</w:t>
            </w:r>
          </w:p>
        </w:tc>
        <w:tc>
          <w:tcPr>
            <w:tcW w:w="6073" w:type="dxa"/>
            <w:gridSpan w:val="4"/>
            <w:vAlign w:val="center"/>
            <w:hideMark/>
          </w:tcPr>
          <w:p w14:paraId="42D0092D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Gene</w:t>
            </w:r>
          </w:p>
        </w:tc>
        <w:tc>
          <w:tcPr>
            <w:tcW w:w="3460" w:type="dxa"/>
            <w:vAlign w:val="center"/>
            <w:hideMark/>
          </w:tcPr>
          <w:p w14:paraId="41FCDACA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Primer Sequence</w:t>
            </w:r>
          </w:p>
        </w:tc>
      </w:tr>
      <w:tr w:rsidR="00D95E74" w:rsidRPr="00F61B37" w14:paraId="6749D454" w14:textId="77777777" w:rsidTr="000E55EF">
        <w:trPr>
          <w:trHeight w:val="20"/>
          <w:jc w:val="center"/>
        </w:trPr>
        <w:tc>
          <w:tcPr>
            <w:tcW w:w="841" w:type="dxa"/>
            <w:vMerge/>
            <w:vAlign w:val="center"/>
            <w:hideMark/>
          </w:tcPr>
          <w:p w14:paraId="02AD6B10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976" w:type="dxa"/>
            <w:vAlign w:val="center"/>
            <w:hideMark/>
          </w:tcPr>
          <w:p w14:paraId="51F1070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Name</w:t>
            </w:r>
          </w:p>
        </w:tc>
        <w:tc>
          <w:tcPr>
            <w:tcW w:w="2113" w:type="dxa"/>
            <w:vAlign w:val="center"/>
            <w:hideMark/>
          </w:tcPr>
          <w:p w14:paraId="26A84715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Official Name and Symbol (NCBI)</w:t>
            </w:r>
          </w:p>
        </w:tc>
        <w:tc>
          <w:tcPr>
            <w:tcW w:w="1056" w:type="dxa"/>
            <w:vAlign w:val="center"/>
            <w:hideMark/>
          </w:tcPr>
          <w:p w14:paraId="20BBB471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Expected Amplicon size</w:t>
            </w:r>
          </w:p>
        </w:tc>
        <w:tc>
          <w:tcPr>
            <w:tcW w:w="928" w:type="dxa"/>
            <w:vAlign w:val="center"/>
            <w:hideMark/>
          </w:tcPr>
          <w:p w14:paraId="5C061549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Primer</w:t>
            </w:r>
          </w:p>
        </w:tc>
        <w:tc>
          <w:tcPr>
            <w:tcW w:w="3460" w:type="dxa"/>
            <w:vAlign w:val="center"/>
            <w:hideMark/>
          </w:tcPr>
          <w:p w14:paraId="706B813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5</w:t>
            </w:r>
            <w:r w:rsidRPr="00F61B37">
              <w:t>′</w:t>
            </w:r>
            <w:r w:rsidRPr="00F61B37">
              <w:rPr>
                <w:rFonts w:eastAsiaTheme="minorEastAsia"/>
                <w:sz w:val="21"/>
              </w:rPr>
              <w:t>→3</w:t>
            </w:r>
            <w:r w:rsidRPr="00F61B37">
              <w:t>′</w:t>
            </w:r>
          </w:p>
        </w:tc>
      </w:tr>
      <w:tr w:rsidR="00D95E74" w:rsidRPr="00F61B37" w14:paraId="7B4A86B5" w14:textId="77777777" w:rsidTr="000E55EF">
        <w:trPr>
          <w:trHeight w:val="20"/>
          <w:jc w:val="center"/>
        </w:trPr>
        <w:tc>
          <w:tcPr>
            <w:tcW w:w="841" w:type="dxa"/>
            <w:vMerge w:val="restart"/>
            <w:vAlign w:val="center"/>
            <w:hideMark/>
          </w:tcPr>
          <w:p w14:paraId="16638C56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1</w:t>
            </w:r>
          </w:p>
        </w:tc>
        <w:tc>
          <w:tcPr>
            <w:tcW w:w="1976" w:type="dxa"/>
            <w:vMerge w:val="restart"/>
            <w:vAlign w:val="center"/>
            <w:hideMark/>
          </w:tcPr>
          <w:p w14:paraId="040B6F5A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Beta actin</w:t>
            </w:r>
          </w:p>
        </w:tc>
        <w:tc>
          <w:tcPr>
            <w:tcW w:w="2113" w:type="dxa"/>
            <w:vMerge w:val="restart"/>
            <w:vAlign w:val="center"/>
            <w:hideMark/>
          </w:tcPr>
          <w:p w14:paraId="45BB7456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Actin beta</w:t>
            </w:r>
            <w:r w:rsidRPr="00F61B37">
              <w:rPr>
                <w:rFonts w:eastAsiaTheme="minorEastAsia"/>
                <w:i/>
                <w:sz w:val="21"/>
              </w:rPr>
              <w:t xml:space="preserve"> </w:t>
            </w:r>
            <w:r w:rsidRPr="00E466C1">
              <w:rPr>
                <w:rFonts w:eastAsiaTheme="minorEastAsia"/>
                <w:iCs/>
                <w:sz w:val="21"/>
              </w:rPr>
              <w:t>(</w:t>
            </w:r>
            <w:r w:rsidRPr="00F61B37">
              <w:rPr>
                <w:rFonts w:eastAsiaTheme="minorEastAsia"/>
                <w:i/>
                <w:sz w:val="21"/>
              </w:rPr>
              <w:t>ACTB</w:t>
            </w:r>
            <w:r w:rsidRPr="00E466C1">
              <w:rPr>
                <w:rFonts w:eastAsiaTheme="minorEastAsia"/>
                <w:iCs/>
                <w:sz w:val="21"/>
              </w:rPr>
              <w:t>)</w:t>
            </w:r>
          </w:p>
        </w:tc>
        <w:tc>
          <w:tcPr>
            <w:tcW w:w="1056" w:type="dxa"/>
            <w:vMerge w:val="restart"/>
            <w:vAlign w:val="center"/>
            <w:hideMark/>
          </w:tcPr>
          <w:p w14:paraId="436ADA43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191 bp</w:t>
            </w:r>
          </w:p>
        </w:tc>
        <w:tc>
          <w:tcPr>
            <w:tcW w:w="928" w:type="dxa"/>
            <w:vAlign w:val="center"/>
            <w:hideMark/>
          </w:tcPr>
          <w:p w14:paraId="75442011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Forward</w:t>
            </w:r>
          </w:p>
        </w:tc>
        <w:tc>
          <w:tcPr>
            <w:tcW w:w="3460" w:type="dxa"/>
            <w:vAlign w:val="center"/>
            <w:hideMark/>
          </w:tcPr>
          <w:p w14:paraId="518F2350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ACAGAGCCTCGCCTTTGC</w:t>
            </w:r>
          </w:p>
        </w:tc>
      </w:tr>
      <w:tr w:rsidR="00D95E74" w:rsidRPr="00F61B37" w14:paraId="5CE77ECA" w14:textId="77777777" w:rsidTr="000E55EF">
        <w:trPr>
          <w:trHeight w:val="20"/>
          <w:jc w:val="center"/>
        </w:trPr>
        <w:tc>
          <w:tcPr>
            <w:tcW w:w="841" w:type="dxa"/>
            <w:vMerge/>
            <w:vAlign w:val="center"/>
            <w:hideMark/>
          </w:tcPr>
          <w:p w14:paraId="751EB501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14:paraId="3612CCE4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14:paraId="0A4B2577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FE90983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28" w:type="dxa"/>
            <w:vAlign w:val="center"/>
            <w:hideMark/>
          </w:tcPr>
          <w:p w14:paraId="2A1EEB24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Reverse</w:t>
            </w:r>
          </w:p>
        </w:tc>
        <w:tc>
          <w:tcPr>
            <w:tcW w:w="3460" w:type="dxa"/>
            <w:vAlign w:val="center"/>
            <w:hideMark/>
          </w:tcPr>
          <w:p w14:paraId="7F2F83FD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CCACCATCACGCCCTGG</w:t>
            </w:r>
          </w:p>
        </w:tc>
      </w:tr>
      <w:tr w:rsidR="00D95E74" w:rsidRPr="00F61B37" w14:paraId="065FC72C" w14:textId="77777777" w:rsidTr="000E55EF">
        <w:trPr>
          <w:trHeight w:val="20"/>
          <w:jc w:val="center"/>
        </w:trPr>
        <w:tc>
          <w:tcPr>
            <w:tcW w:w="841" w:type="dxa"/>
            <w:vMerge w:val="restart"/>
            <w:vAlign w:val="center"/>
            <w:hideMark/>
          </w:tcPr>
          <w:p w14:paraId="37F7EB38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2</w:t>
            </w:r>
          </w:p>
        </w:tc>
        <w:tc>
          <w:tcPr>
            <w:tcW w:w="1976" w:type="dxa"/>
            <w:vMerge w:val="restart"/>
            <w:vAlign w:val="center"/>
            <w:hideMark/>
          </w:tcPr>
          <w:p w14:paraId="3D078309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Androgen receptor</w:t>
            </w:r>
          </w:p>
        </w:tc>
        <w:tc>
          <w:tcPr>
            <w:tcW w:w="2113" w:type="dxa"/>
            <w:vMerge w:val="restart"/>
            <w:vAlign w:val="center"/>
            <w:hideMark/>
          </w:tcPr>
          <w:p w14:paraId="643AB2E1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Androgen Receptor</w:t>
            </w:r>
            <w:r w:rsidRPr="00F61B37">
              <w:rPr>
                <w:rFonts w:eastAsiaTheme="minorEastAsia"/>
                <w:i/>
                <w:sz w:val="21"/>
              </w:rPr>
              <w:t xml:space="preserve"> </w:t>
            </w:r>
            <w:r w:rsidRPr="00E466C1">
              <w:rPr>
                <w:rFonts w:eastAsiaTheme="minorEastAsia"/>
                <w:iCs/>
                <w:sz w:val="21"/>
              </w:rPr>
              <w:t>(</w:t>
            </w:r>
            <w:r w:rsidRPr="00F61B37">
              <w:rPr>
                <w:rFonts w:eastAsiaTheme="minorEastAsia"/>
                <w:i/>
                <w:sz w:val="21"/>
              </w:rPr>
              <w:t>AR</w:t>
            </w:r>
            <w:r w:rsidRPr="00E466C1">
              <w:rPr>
                <w:rFonts w:eastAsiaTheme="minorEastAsia"/>
                <w:iCs/>
                <w:sz w:val="21"/>
              </w:rPr>
              <w:t>)</w:t>
            </w:r>
          </w:p>
        </w:tc>
        <w:tc>
          <w:tcPr>
            <w:tcW w:w="1056" w:type="dxa"/>
            <w:vMerge w:val="restart"/>
            <w:vAlign w:val="center"/>
            <w:hideMark/>
          </w:tcPr>
          <w:p w14:paraId="3AED4DEF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164 bp</w:t>
            </w:r>
          </w:p>
        </w:tc>
        <w:tc>
          <w:tcPr>
            <w:tcW w:w="928" w:type="dxa"/>
            <w:vAlign w:val="center"/>
            <w:hideMark/>
          </w:tcPr>
          <w:p w14:paraId="3CD3AEC1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Forward</w:t>
            </w:r>
          </w:p>
        </w:tc>
        <w:tc>
          <w:tcPr>
            <w:tcW w:w="3460" w:type="dxa"/>
            <w:vAlign w:val="center"/>
            <w:hideMark/>
          </w:tcPr>
          <w:p w14:paraId="1FE3EF4B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 xml:space="preserve"> GACATGCGTTTGGAGACTGC</w:t>
            </w:r>
          </w:p>
        </w:tc>
      </w:tr>
      <w:tr w:rsidR="00D95E74" w:rsidRPr="00F61B37" w14:paraId="6E1B0573" w14:textId="77777777" w:rsidTr="000E55EF">
        <w:trPr>
          <w:trHeight w:val="20"/>
          <w:jc w:val="center"/>
        </w:trPr>
        <w:tc>
          <w:tcPr>
            <w:tcW w:w="841" w:type="dxa"/>
            <w:vMerge/>
            <w:vAlign w:val="center"/>
            <w:hideMark/>
          </w:tcPr>
          <w:p w14:paraId="23689BEF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14:paraId="7F32D518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14:paraId="5C25FF8A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8C93ADB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28" w:type="dxa"/>
            <w:vAlign w:val="center"/>
            <w:hideMark/>
          </w:tcPr>
          <w:p w14:paraId="1AE3C8B7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Reverse</w:t>
            </w:r>
          </w:p>
        </w:tc>
        <w:tc>
          <w:tcPr>
            <w:tcW w:w="3460" w:type="dxa"/>
            <w:vAlign w:val="center"/>
            <w:hideMark/>
          </w:tcPr>
          <w:p w14:paraId="2F97D033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TTCCCTTCAGCGGCTCTTTT</w:t>
            </w:r>
          </w:p>
        </w:tc>
      </w:tr>
      <w:tr w:rsidR="00D95E74" w:rsidRPr="00F61B37" w14:paraId="5CB43E2C" w14:textId="77777777" w:rsidTr="000E55EF">
        <w:trPr>
          <w:trHeight w:val="396"/>
          <w:jc w:val="center"/>
        </w:trPr>
        <w:tc>
          <w:tcPr>
            <w:tcW w:w="841" w:type="dxa"/>
            <w:vMerge w:val="restart"/>
            <w:vAlign w:val="center"/>
            <w:hideMark/>
          </w:tcPr>
          <w:p w14:paraId="1DACED36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3</w:t>
            </w:r>
          </w:p>
        </w:tc>
        <w:tc>
          <w:tcPr>
            <w:tcW w:w="1976" w:type="dxa"/>
            <w:vMerge w:val="restart"/>
            <w:vAlign w:val="center"/>
            <w:hideMark/>
          </w:tcPr>
          <w:p w14:paraId="0E1501C5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  <w:lang w:val="es-ES"/>
              </w:rPr>
            </w:pPr>
            <w:r w:rsidRPr="00F61B37">
              <w:rPr>
                <w:rFonts w:eastAsiaTheme="minorEastAsia"/>
                <w:sz w:val="21"/>
                <w:lang w:val="es-ES"/>
              </w:rPr>
              <w:t>Estrogen receptor alpha (ER</w:t>
            </w:r>
            <w:r w:rsidRPr="00F61B37">
              <w:rPr>
                <w:rFonts w:eastAsiaTheme="minorEastAsia"/>
                <w:sz w:val="21"/>
              </w:rPr>
              <w:t>α</w:t>
            </w:r>
            <w:r w:rsidRPr="00F61B37">
              <w:rPr>
                <w:rFonts w:eastAsiaTheme="minorEastAsia"/>
                <w:sz w:val="21"/>
                <w:lang w:val="es-ES"/>
              </w:rPr>
              <w:t>)</w:t>
            </w:r>
          </w:p>
        </w:tc>
        <w:tc>
          <w:tcPr>
            <w:tcW w:w="2113" w:type="dxa"/>
            <w:vMerge w:val="restart"/>
            <w:vAlign w:val="center"/>
            <w:hideMark/>
          </w:tcPr>
          <w:p w14:paraId="56F18B2D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Estrogen receptor</w:t>
            </w:r>
            <w:r w:rsidRPr="00F61B37">
              <w:rPr>
                <w:rFonts w:eastAsiaTheme="minorEastAsia"/>
                <w:i/>
                <w:sz w:val="21"/>
              </w:rPr>
              <w:t xml:space="preserve"> </w:t>
            </w:r>
            <w:r w:rsidRPr="00F61B37">
              <w:rPr>
                <w:rFonts w:eastAsiaTheme="minorEastAsia"/>
                <w:sz w:val="21"/>
              </w:rPr>
              <w:t xml:space="preserve">1 </w:t>
            </w:r>
            <w:r w:rsidRPr="00E466C1">
              <w:rPr>
                <w:rFonts w:eastAsiaTheme="minorEastAsia"/>
                <w:iCs/>
                <w:sz w:val="21"/>
              </w:rPr>
              <w:t>(</w:t>
            </w:r>
            <w:r w:rsidRPr="00F61B37">
              <w:rPr>
                <w:rFonts w:eastAsiaTheme="minorEastAsia"/>
                <w:i/>
                <w:sz w:val="21"/>
              </w:rPr>
              <w:t>ESR1</w:t>
            </w:r>
            <w:r w:rsidRPr="00E466C1">
              <w:rPr>
                <w:rFonts w:eastAsiaTheme="minorEastAsia"/>
                <w:iCs/>
                <w:sz w:val="21"/>
              </w:rPr>
              <w:t>)</w:t>
            </w:r>
          </w:p>
        </w:tc>
        <w:tc>
          <w:tcPr>
            <w:tcW w:w="1056" w:type="dxa"/>
            <w:vMerge w:val="restart"/>
            <w:vAlign w:val="center"/>
            <w:hideMark/>
          </w:tcPr>
          <w:p w14:paraId="0B75286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174 bp</w:t>
            </w:r>
          </w:p>
        </w:tc>
        <w:tc>
          <w:tcPr>
            <w:tcW w:w="928" w:type="dxa"/>
            <w:vAlign w:val="center"/>
            <w:hideMark/>
          </w:tcPr>
          <w:p w14:paraId="289C805E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Forward</w:t>
            </w:r>
          </w:p>
        </w:tc>
        <w:tc>
          <w:tcPr>
            <w:tcW w:w="3460" w:type="dxa"/>
            <w:vAlign w:val="center"/>
            <w:hideMark/>
          </w:tcPr>
          <w:p w14:paraId="16F5546B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CTTGGACAGGAACCAGGGAAAA</w:t>
            </w:r>
          </w:p>
        </w:tc>
      </w:tr>
      <w:tr w:rsidR="00D95E74" w:rsidRPr="00F61B37" w14:paraId="049AA525" w14:textId="77777777" w:rsidTr="000E55EF">
        <w:trPr>
          <w:trHeight w:val="20"/>
          <w:jc w:val="center"/>
        </w:trPr>
        <w:tc>
          <w:tcPr>
            <w:tcW w:w="841" w:type="dxa"/>
            <w:vMerge/>
            <w:vAlign w:val="center"/>
            <w:hideMark/>
          </w:tcPr>
          <w:p w14:paraId="09C20BC2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14:paraId="7449C8E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14:paraId="4DADEF75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4C840B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28" w:type="dxa"/>
            <w:vAlign w:val="center"/>
            <w:hideMark/>
          </w:tcPr>
          <w:p w14:paraId="31682EF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Reverse</w:t>
            </w:r>
          </w:p>
        </w:tc>
        <w:tc>
          <w:tcPr>
            <w:tcW w:w="3460" w:type="dxa"/>
            <w:vAlign w:val="center"/>
            <w:hideMark/>
          </w:tcPr>
          <w:p w14:paraId="04DF465A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TTCAGGGTGCTGGACAGAAAT</w:t>
            </w:r>
          </w:p>
        </w:tc>
      </w:tr>
      <w:tr w:rsidR="00D95E74" w:rsidRPr="00F61B37" w14:paraId="58236CBC" w14:textId="77777777" w:rsidTr="000E55EF">
        <w:trPr>
          <w:trHeight w:val="20"/>
          <w:jc w:val="center"/>
        </w:trPr>
        <w:tc>
          <w:tcPr>
            <w:tcW w:w="841" w:type="dxa"/>
            <w:vMerge w:val="restart"/>
            <w:vAlign w:val="center"/>
            <w:hideMark/>
          </w:tcPr>
          <w:p w14:paraId="3BBE23A1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4</w:t>
            </w:r>
          </w:p>
        </w:tc>
        <w:tc>
          <w:tcPr>
            <w:tcW w:w="1976" w:type="dxa"/>
            <w:vMerge w:val="restart"/>
            <w:vAlign w:val="center"/>
            <w:hideMark/>
          </w:tcPr>
          <w:p w14:paraId="0869B142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  <w:lang w:val="es-ES"/>
              </w:rPr>
            </w:pPr>
            <w:r w:rsidRPr="00F61B37">
              <w:rPr>
                <w:rFonts w:eastAsiaTheme="minorEastAsia"/>
                <w:sz w:val="21"/>
                <w:lang w:val="es-ES"/>
              </w:rPr>
              <w:t>Estrogen receptor beta (ER</w:t>
            </w:r>
            <w:r w:rsidRPr="00F61B37">
              <w:rPr>
                <w:rFonts w:eastAsiaTheme="minorEastAsia"/>
                <w:sz w:val="21"/>
              </w:rPr>
              <w:t>β</w:t>
            </w:r>
            <w:r w:rsidRPr="00F61B37">
              <w:rPr>
                <w:rFonts w:eastAsiaTheme="minorEastAsia"/>
                <w:sz w:val="21"/>
                <w:lang w:val="es-ES"/>
              </w:rPr>
              <w:t>)</w:t>
            </w:r>
          </w:p>
        </w:tc>
        <w:tc>
          <w:tcPr>
            <w:tcW w:w="2113" w:type="dxa"/>
            <w:vMerge w:val="restart"/>
            <w:vAlign w:val="center"/>
            <w:hideMark/>
          </w:tcPr>
          <w:p w14:paraId="59C1D551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i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Estrogen receptor 2</w:t>
            </w:r>
            <w:r w:rsidRPr="00F61B37">
              <w:rPr>
                <w:rFonts w:eastAsiaTheme="minorEastAsia"/>
                <w:i/>
                <w:sz w:val="21"/>
              </w:rPr>
              <w:t xml:space="preserve"> </w:t>
            </w:r>
            <w:r w:rsidRPr="00E466C1">
              <w:rPr>
                <w:rFonts w:eastAsiaTheme="minorEastAsia"/>
                <w:iCs/>
                <w:sz w:val="21"/>
              </w:rPr>
              <w:t>(</w:t>
            </w:r>
            <w:r w:rsidRPr="00F61B37">
              <w:rPr>
                <w:rFonts w:eastAsiaTheme="minorEastAsia"/>
                <w:i/>
                <w:sz w:val="21"/>
              </w:rPr>
              <w:t>ESR2</w:t>
            </w:r>
            <w:r w:rsidRPr="00E466C1">
              <w:rPr>
                <w:rFonts w:eastAsiaTheme="minorEastAsia"/>
                <w:iCs/>
                <w:sz w:val="21"/>
              </w:rPr>
              <w:t>)</w:t>
            </w:r>
          </w:p>
        </w:tc>
        <w:tc>
          <w:tcPr>
            <w:tcW w:w="1056" w:type="dxa"/>
            <w:vMerge w:val="restart"/>
            <w:vAlign w:val="center"/>
            <w:hideMark/>
          </w:tcPr>
          <w:p w14:paraId="7C2161EF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217 bp</w:t>
            </w:r>
          </w:p>
        </w:tc>
        <w:tc>
          <w:tcPr>
            <w:tcW w:w="928" w:type="dxa"/>
            <w:vAlign w:val="center"/>
            <w:hideMark/>
          </w:tcPr>
          <w:p w14:paraId="27B7020A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Forward</w:t>
            </w:r>
          </w:p>
        </w:tc>
        <w:tc>
          <w:tcPr>
            <w:tcW w:w="3460" w:type="dxa"/>
            <w:vAlign w:val="center"/>
            <w:hideMark/>
          </w:tcPr>
          <w:p w14:paraId="32D608FC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 xml:space="preserve"> GCATGCGAGATGGGGAGAAA</w:t>
            </w:r>
          </w:p>
        </w:tc>
      </w:tr>
      <w:tr w:rsidR="00D95E74" w:rsidRPr="00F61B37" w14:paraId="23AACB7F" w14:textId="77777777" w:rsidTr="000E55EF">
        <w:trPr>
          <w:trHeight w:val="20"/>
          <w:jc w:val="center"/>
        </w:trPr>
        <w:tc>
          <w:tcPr>
            <w:tcW w:w="841" w:type="dxa"/>
            <w:vMerge/>
            <w:vAlign w:val="center"/>
            <w:hideMark/>
          </w:tcPr>
          <w:p w14:paraId="620F432F" w14:textId="77777777" w:rsidR="00D95E74" w:rsidRPr="00F61B37" w:rsidRDefault="00D95E74" w:rsidP="002079D2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14:paraId="7E914893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14:paraId="269A1BD3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12A4134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928" w:type="dxa"/>
            <w:vAlign w:val="center"/>
            <w:hideMark/>
          </w:tcPr>
          <w:p w14:paraId="4D14094F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Reverse</w:t>
            </w:r>
          </w:p>
        </w:tc>
        <w:tc>
          <w:tcPr>
            <w:tcW w:w="3460" w:type="dxa"/>
            <w:vAlign w:val="center"/>
            <w:hideMark/>
          </w:tcPr>
          <w:p w14:paraId="14B5F5FE" w14:textId="77777777" w:rsidR="00D95E74" w:rsidRPr="00F61B37" w:rsidRDefault="00D95E74" w:rsidP="002079D2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1B37">
              <w:rPr>
                <w:rFonts w:eastAsiaTheme="minorEastAsia"/>
                <w:sz w:val="21"/>
              </w:rPr>
              <w:t>GGGCCTTTAAGCTGGTTTGC</w:t>
            </w:r>
          </w:p>
        </w:tc>
      </w:tr>
    </w:tbl>
    <w:p w14:paraId="6A4D7FC8" w14:textId="77777777" w:rsidR="00D95E74" w:rsidRPr="00F61B37" w:rsidRDefault="00D95E74" w:rsidP="00D95E74">
      <w:pPr>
        <w:ind w:firstLineChars="0" w:firstLine="0"/>
        <w:rPr>
          <w:rFonts w:eastAsiaTheme="minorEastAsia"/>
        </w:rPr>
      </w:pPr>
    </w:p>
    <w:p w14:paraId="694413CA" w14:textId="77777777" w:rsidR="00D95E74" w:rsidRPr="00F61B37" w:rsidRDefault="00D95E74" w:rsidP="007619BE">
      <w:pPr>
        <w:ind w:firstLineChars="0" w:firstLine="0"/>
        <w:rPr>
          <w:b/>
          <w:noProof/>
          <w:szCs w:val="20"/>
          <w:lang w:val="en-IN" w:eastAsia="en-IN"/>
        </w:rPr>
      </w:pPr>
    </w:p>
    <w:p w14:paraId="3D7E9A30" w14:textId="3C9D9B6E" w:rsidR="00DB57E4" w:rsidRPr="00F61B37" w:rsidRDefault="007011E8" w:rsidP="00AE46B9">
      <w:pPr>
        <w:ind w:firstLineChars="0" w:firstLine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0560AB2C" wp14:editId="5210D780">
            <wp:extent cx="6300470" cy="245046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E9CC" w14:textId="29EA2414" w:rsidR="00DB57E4" w:rsidRPr="00F61B37" w:rsidRDefault="00DB57E4" w:rsidP="0002307C">
      <w:pPr>
        <w:pStyle w:val="af5"/>
      </w:pPr>
      <w:r w:rsidRPr="00F61B37">
        <w:t>Supplementary Fig. 1. Growth of prostate epithelial cells under the treatment of different concentrations of apigenin</w:t>
      </w:r>
      <w:r w:rsidR="0002307C" w:rsidRPr="00F61B37">
        <w:t>.</w:t>
      </w:r>
    </w:p>
    <w:p w14:paraId="61C53EFC" w14:textId="77777777" w:rsidR="003748D5" w:rsidRPr="00F61B37" w:rsidRDefault="003748D5" w:rsidP="00222696">
      <w:pPr>
        <w:ind w:firstLineChars="0" w:firstLine="0"/>
        <w:rPr>
          <w:noProof/>
          <w:szCs w:val="20"/>
          <w:lang w:val="en-IN" w:eastAsia="en-IN"/>
        </w:rPr>
      </w:pPr>
    </w:p>
    <w:p w14:paraId="0E2F0018" w14:textId="370019C8" w:rsidR="00DB57E4" w:rsidRPr="00F61B37" w:rsidRDefault="007011E8" w:rsidP="007011E8">
      <w:pPr>
        <w:ind w:firstLineChars="0" w:firstLine="0"/>
        <w:jc w:val="center"/>
        <w:rPr>
          <w:rFonts w:eastAsiaTheme="minorEastAsia"/>
          <w:szCs w:val="20"/>
        </w:rPr>
      </w:pPr>
      <w:r>
        <w:rPr>
          <w:rFonts w:eastAsiaTheme="minorEastAsia"/>
          <w:noProof/>
          <w:szCs w:val="20"/>
        </w:rPr>
        <w:lastRenderedPageBreak/>
        <w:drawing>
          <wp:inline distT="0" distB="0" distL="0" distR="0" wp14:anchorId="19E9D5D1" wp14:editId="5F87DB4C">
            <wp:extent cx="6300470" cy="263144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3490C" w14:textId="58368DA1" w:rsidR="00DB57E4" w:rsidRPr="00F66547" w:rsidRDefault="003748D5" w:rsidP="003748D5">
      <w:pPr>
        <w:pStyle w:val="af5"/>
      </w:pPr>
      <w:r w:rsidRPr="00F61B37">
        <w:t>Supplementary Fig. 2.</w:t>
      </w:r>
      <w:r w:rsidR="00DB57E4" w:rsidRPr="00F61B37">
        <w:t xml:space="preserve"> Growth of prostate stromal cells under the treatment of different concentrations of apigenin</w:t>
      </w:r>
      <w:r w:rsidRPr="00F61B37">
        <w:t>.</w:t>
      </w:r>
    </w:p>
    <w:p w14:paraId="30B63145" w14:textId="77777777" w:rsidR="00DB57E4" w:rsidRPr="00F66547" w:rsidRDefault="00DB57E4" w:rsidP="00DB57E4">
      <w:pPr>
        <w:ind w:firstLine="420"/>
        <w:rPr>
          <w:szCs w:val="20"/>
        </w:rPr>
      </w:pPr>
    </w:p>
    <w:sectPr w:rsidR="00DB57E4" w:rsidRPr="00F66547" w:rsidSect="005361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2" w:right="992" w:bottom="992" w:left="992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EE2C" w14:textId="77777777" w:rsidR="00A2024B" w:rsidRDefault="00A2024B" w:rsidP="009814FD">
      <w:pPr>
        <w:ind w:firstLine="420"/>
      </w:pPr>
      <w:r>
        <w:separator/>
      </w:r>
    </w:p>
  </w:endnote>
  <w:endnote w:type="continuationSeparator" w:id="0">
    <w:p w14:paraId="463566E5" w14:textId="77777777" w:rsidR="00A2024B" w:rsidRDefault="00A2024B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782" w14:textId="77777777" w:rsidR="00DC0634" w:rsidRDefault="00AE46B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85" w:rsidRPr="00DC5D85">
          <w:rPr>
            <w:noProof/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AE46B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85" w:rsidRPr="00DC5D85">
          <w:rPr>
            <w:noProof/>
            <w:lang w:val="zh-CN"/>
          </w:rPr>
          <w:t>1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A1B9" w14:textId="77777777" w:rsidR="00A2024B" w:rsidRDefault="00A2024B" w:rsidP="009814FD">
      <w:pPr>
        <w:ind w:firstLine="420"/>
      </w:pPr>
      <w:r>
        <w:separator/>
      </w:r>
    </w:p>
  </w:footnote>
  <w:footnote w:type="continuationSeparator" w:id="0">
    <w:p w14:paraId="0FEC7F91" w14:textId="77777777" w:rsidR="00A2024B" w:rsidRDefault="00A2024B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E1D" w14:textId="77777777" w:rsidR="00DC0634" w:rsidRDefault="00AE46B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4FF" w14:textId="77777777" w:rsidR="00DC0634" w:rsidRPr="00C568BE" w:rsidRDefault="00AE46B9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2307C"/>
    <w:rsid w:val="000E55EF"/>
    <w:rsid w:val="000F152E"/>
    <w:rsid w:val="00127C33"/>
    <w:rsid w:val="001414BE"/>
    <w:rsid w:val="00153E4A"/>
    <w:rsid w:val="00194E4F"/>
    <w:rsid w:val="001B181F"/>
    <w:rsid w:val="001C2861"/>
    <w:rsid w:val="00222696"/>
    <w:rsid w:val="002E609A"/>
    <w:rsid w:val="00337C91"/>
    <w:rsid w:val="003748D5"/>
    <w:rsid w:val="003D4C2F"/>
    <w:rsid w:val="004565FB"/>
    <w:rsid w:val="00536191"/>
    <w:rsid w:val="005447B1"/>
    <w:rsid w:val="00573025"/>
    <w:rsid w:val="005C2E6D"/>
    <w:rsid w:val="005D4904"/>
    <w:rsid w:val="005E11B2"/>
    <w:rsid w:val="005E1BC6"/>
    <w:rsid w:val="00645A53"/>
    <w:rsid w:val="006C33BC"/>
    <w:rsid w:val="006D5B15"/>
    <w:rsid w:val="007011E8"/>
    <w:rsid w:val="007619BE"/>
    <w:rsid w:val="007C726C"/>
    <w:rsid w:val="00824750"/>
    <w:rsid w:val="00835322"/>
    <w:rsid w:val="008703FB"/>
    <w:rsid w:val="00885DDC"/>
    <w:rsid w:val="008D20BE"/>
    <w:rsid w:val="008E7993"/>
    <w:rsid w:val="009538A3"/>
    <w:rsid w:val="009814FD"/>
    <w:rsid w:val="00995EE8"/>
    <w:rsid w:val="009F77EE"/>
    <w:rsid w:val="00A2024B"/>
    <w:rsid w:val="00A744D2"/>
    <w:rsid w:val="00AA5282"/>
    <w:rsid w:val="00AE46B9"/>
    <w:rsid w:val="00B150B6"/>
    <w:rsid w:val="00B23B47"/>
    <w:rsid w:val="00C234C4"/>
    <w:rsid w:val="00C37B81"/>
    <w:rsid w:val="00C44D2F"/>
    <w:rsid w:val="00C64A9D"/>
    <w:rsid w:val="00C9685C"/>
    <w:rsid w:val="00CF6141"/>
    <w:rsid w:val="00D11309"/>
    <w:rsid w:val="00D171FA"/>
    <w:rsid w:val="00D27B94"/>
    <w:rsid w:val="00D95E74"/>
    <w:rsid w:val="00DB57E4"/>
    <w:rsid w:val="00DC5D85"/>
    <w:rsid w:val="00E2559C"/>
    <w:rsid w:val="00E466C1"/>
    <w:rsid w:val="00E81483"/>
    <w:rsid w:val="00EB06A6"/>
    <w:rsid w:val="00EC0D34"/>
    <w:rsid w:val="00F01340"/>
    <w:rsid w:val="00F61B37"/>
    <w:rsid w:val="00F646B2"/>
    <w:rsid w:val="00F74918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EFE40"/>
  <w15:docId w15:val="{9870F347-24C9-4FDD-9D4B-1B4DD4D1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F646B2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02307C"/>
    <w:pPr>
      <w:jc w:val="both"/>
    </w:pPr>
    <w:rPr>
      <w:rFonts w:eastAsia="宋体"/>
      <w:b/>
    </w:rPr>
  </w:style>
  <w:style w:type="paragraph" w:customStyle="1" w:styleId="af6">
    <w:name w:val="文章标题"/>
    <w:basedOn w:val="a"/>
    <w:link w:val="af7"/>
    <w:autoRedefine/>
    <w:qFormat/>
    <w:rsid w:val="00F646B2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F646B2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  <w:style w:type="character" w:styleId="aff1">
    <w:name w:val="annotation reference"/>
    <w:basedOn w:val="a0"/>
    <w:uiPriority w:val="99"/>
    <w:semiHidden/>
    <w:unhideWhenUsed/>
    <w:rsid w:val="003D4C2F"/>
    <w:rPr>
      <w:sz w:val="21"/>
      <w:szCs w:val="21"/>
    </w:rPr>
  </w:style>
  <w:style w:type="paragraph" w:styleId="aff2">
    <w:name w:val="annotation text"/>
    <w:basedOn w:val="a"/>
    <w:link w:val="aff3"/>
    <w:uiPriority w:val="99"/>
    <w:unhideWhenUsed/>
    <w:qFormat/>
    <w:rsid w:val="003D4C2F"/>
    <w:pPr>
      <w:jc w:val="left"/>
    </w:pPr>
  </w:style>
  <w:style w:type="character" w:customStyle="1" w:styleId="aff3">
    <w:name w:val="批注文字 字符"/>
    <w:basedOn w:val="a0"/>
    <w:link w:val="aff2"/>
    <w:uiPriority w:val="99"/>
    <w:qFormat/>
    <w:rsid w:val="003D4C2F"/>
    <w:rPr>
      <w:rFonts w:ascii="Times New Roman" w:eastAsia="Times New Roman" w:hAnsi="Times New Roman" w:cs="Times New Roman"/>
      <w:szCs w:val="21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D4C2F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3D4C2F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8AB6-4F91-411E-B029-3C556BFE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Emilia</cp:lastModifiedBy>
  <cp:revision>61</cp:revision>
  <dcterms:created xsi:type="dcterms:W3CDTF">2024-03-20T08:47:00Z</dcterms:created>
  <dcterms:modified xsi:type="dcterms:W3CDTF">2024-11-05T03:20:00Z</dcterms:modified>
</cp:coreProperties>
</file>